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60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shd w:val="clear" w:color="auto" w:fill="FFFFFF"/>
        <w:adjustRightInd/>
        <w:snapToGrid/>
        <w:spacing w:after="0" w:line="600" w:lineRule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</w:p>
    <w:bookmarkEnd w:id="0"/>
    <w:p>
      <w:pPr>
        <w:pStyle w:val="2"/>
        <w:rPr>
          <w:rFonts w:hint="eastAsia"/>
        </w:rPr>
      </w:pPr>
    </w:p>
    <w:p>
      <w:pPr>
        <w:shd w:val="clear" w:color="auto" w:fill="FFFFFF"/>
        <w:spacing w:after="0" w:line="560" w:lineRule="atLeast"/>
        <w:jc w:val="center"/>
        <w:rPr>
          <w:rFonts w:ascii="方正粗黑宋简体" w:hAnsi="方正粗黑宋简体" w:eastAsia="方正粗黑宋简体" w:cs="方正粗黑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全市党员教育电视片展评活动作品报送细则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1、作品统一以移动存储设备（移动硬盘或U盘）报送。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2、移动存储设备内应含作品视频文件、选送表、解说词Word文档。报送多个作品，请建3个分类文件夹：视频、选送表、解说词，将文件存入相应文件夹。纸质报名表盖章后一并报送。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3、作品报送仅限高清。高清作品同时报送两种格式视频文件：不低于50Mbps码率 1080/50i 制式mov或mp4文件，请使用视频剪辑软件直接生成，勿使用其他转码软件生成，避免未知错误。视频文件按“片名-分类-报送单位”格式命名，例如：“守护-典型事迹片-遂昌县委组织部.mpg”。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4、年度省级教学资源课件（包括作为观摩交流作品报送的）可与观摩交流作品存储在同一设备中，并建立单独的“2020 年省级教学资源课件”文件夹。报送格式要求同往年。</w:t>
      </w:r>
    </w:p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B6138"/>
    <w:rsid w:val="1AE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adjustRightInd/>
      <w:snapToGrid/>
      <w:spacing w:after="120"/>
      <w:jc w:val="both"/>
    </w:pPr>
    <w:rPr>
      <w:rFonts w:ascii="Calibri" w:hAnsi="Calibri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2020-08-14T03:03:00Z</dcterms:created>
  <dc:creator>多多的麻麻</dc:creator>
  <cp:lastModifiedBy>多多的麻麻</cp:lastModifiedBy>
  <dcterms:modified xsi:type="dcterms:W3CDTF">2020-08-14T03:06:13Z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